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F27AC2">
      <w:pPr>
        <w:pStyle w:val="a3"/>
        <w:spacing w:before="5"/>
        <w:rPr>
          <w:sz w:val="14"/>
          <w:lang w:val="el-GR"/>
        </w:rPr>
      </w:pPr>
      <w:r w:rsidRPr="00F27A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F27AC2">
      <w:pPr>
        <w:pStyle w:val="a3"/>
        <w:spacing w:before="4"/>
        <w:rPr>
          <w:sz w:val="12"/>
          <w:lang w:val="el-GR"/>
        </w:rPr>
      </w:pPr>
      <w:r w:rsidRPr="00F27AC2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1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1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3E7308">
        <w:rPr>
          <w:b/>
          <w:i/>
          <w:color w:val="FF0000"/>
          <w:w w:val="95"/>
          <w:lang w:val="el-GR"/>
        </w:rPr>
        <w:t>[ΔΗΜΟΣ ΣΑΛΑΜΙΝΑΣ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>[6266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3E7308" w:rsidRDefault="008C20B7" w:rsidP="00917519">
      <w:pPr>
        <w:ind w:left="4395" w:hanging="4395"/>
        <w:rPr>
          <w:b/>
          <w:i/>
          <w:color w:val="FF0000"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 xml:space="preserve">[Λεωφ. Κων/νου </w:t>
      </w:r>
      <w:r w:rsidR="00FA7291" w:rsidRPr="003E7308">
        <w:rPr>
          <w:b/>
          <w:i/>
          <w:color w:val="FF0000"/>
          <w:lang w:val="el-GR"/>
        </w:rPr>
        <w:t>Καραμανλή</w:t>
      </w:r>
      <w:r w:rsidR="00917519" w:rsidRPr="003E7308">
        <w:rPr>
          <w:b/>
          <w:i/>
          <w:color w:val="FF0000"/>
          <w:lang w:val="el-GR"/>
        </w:rPr>
        <w:t xml:space="preserve"> 1 &amp; </w:t>
      </w:r>
      <w:r w:rsidR="00FA7291" w:rsidRPr="003E7308">
        <w:rPr>
          <w:b/>
          <w:i/>
          <w:color w:val="FF0000"/>
          <w:lang w:val="el-GR"/>
        </w:rPr>
        <w:t>Αμμοχώστου</w:t>
      </w:r>
      <w:r w:rsidR="00E05DC0" w:rsidRPr="003E7308">
        <w:rPr>
          <w:b/>
          <w:i/>
          <w:color w:val="FF0000"/>
          <w:lang w:val="el-GR"/>
        </w:rPr>
        <w:t xml:space="preserve">, </w:t>
      </w:r>
      <w:r w:rsidR="00FA7291" w:rsidRPr="003E7308">
        <w:rPr>
          <w:b/>
          <w:i/>
          <w:color w:val="FF0000"/>
          <w:lang w:val="el-GR"/>
        </w:rPr>
        <w:t>Σαλαμίνα</w:t>
      </w:r>
      <w:r w:rsidR="00E05DC0" w:rsidRPr="003E7308">
        <w:rPr>
          <w:b/>
          <w:i/>
          <w:color w:val="FF0000"/>
          <w:lang w:val="el-GR"/>
        </w:rPr>
        <w:t>, 189 00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37819" w:rsidRPr="003E7308">
        <w:rPr>
          <w:b/>
          <w:i/>
          <w:color w:val="FF0000"/>
          <w:w w:val="95"/>
          <w:lang w:val="el-GR"/>
        </w:rPr>
        <w:t>[</w:t>
      </w:r>
      <w:r w:rsidR="00B55945">
        <w:rPr>
          <w:b/>
          <w:i/>
          <w:color w:val="FF0000"/>
          <w:w w:val="95"/>
          <w:lang w:val="el-GR"/>
        </w:rPr>
        <w:t>Μιχ. Σιγάλας</w:t>
      </w:r>
      <w:r w:rsidR="00A37819" w:rsidRPr="003E7308">
        <w:rPr>
          <w:b/>
          <w:i/>
          <w:color w:val="FF0000"/>
          <w:w w:val="95"/>
          <w:lang w:val="el-GR"/>
        </w:rPr>
        <w:t xml:space="preserve"> &amp; Χαρ. </w:t>
      </w:r>
      <w:r w:rsidR="00A949C2" w:rsidRPr="003E7308">
        <w:rPr>
          <w:b/>
          <w:i/>
          <w:color w:val="FF0000"/>
          <w:w w:val="95"/>
          <w:lang w:val="el-GR"/>
        </w:rPr>
        <w:t>Μίχα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3E7308" w:rsidRDefault="00E05DC0" w:rsidP="00E05DC0">
      <w:pPr>
        <w:tabs>
          <w:tab w:val="left" w:pos="405"/>
        </w:tabs>
        <w:spacing w:before="31"/>
        <w:rPr>
          <w:color w:val="FF0000"/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3E7308">
        <w:rPr>
          <w:b/>
          <w:i/>
          <w:color w:val="FF0000"/>
          <w:w w:val="95"/>
          <w:lang w:val="el-GR"/>
        </w:rPr>
        <w:t>[</w:t>
      </w:r>
      <w:r w:rsidR="00E4393C" w:rsidRPr="003E7308">
        <w:rPr>
          <w:b/>
          <w:i/>
          <w:color w:val="FF0000"/>
          <w:w w:val="95"/>
          <w:lang w:val="el-GR"/>
        </w:rPr>
        <w:t xml:space="preserve">213 2027 </w:t>
      </w:r>
      <w:r w:rsidR="00B55945">
        <w:rPr>
          <w:b/>
          <w:i/>
          <w:color w:val="FF0000"/>
          <w:w w:val="95"/>
          <w:lang w:val="el-GR"/>
        </w:rPr>
        <w:t>422</w:t>
      </w:r>
      <w:r w:rsidR="00A37819" w:rsidRPr="003E7308">
        <w:rPr>
          <w:b/>
          <w:i/>
          <w:color w:val="FF0000"/>
          <w:w w:val="95"/>
          <w:lang w:val="el-GR"/>
        </w:rPr>
        <w:t xml:space="preserve"> &amp; 213 2027 387</w:t>
      </w:r>
      <w:r w:rsidR="00A142A8"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B55945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B55945">
        <w:rPr>
          <w:b/>
          <w:i/>
          <w:color w:val="FF0000"/>
          <w:w w:val="95"/>
          <w:lang w:val="el-GR"/>
        </w:rPr>
        <w:t>[</w:t>
      </w:r>
      <w:r w:rsidR="00B55945" w:rsidRPr="00B55945">
        <w:rPr>
          <w:b/>
          <w:i/>
          <w:color w:val="FF0000"/>
          <w:w w:val="95"/>
          <w:lang w:val="el-GR"/>
        </w:rPr>
        <w:t xml:space="preserve"> </w:t>
      </w:r>
      <w:hyperlink r:id="rId8" w:history="1">
        <w:r w:rsidR="00B55945" w:rsidRPr="00B55945">
          <w:rPr>
            <w:rStyle w:val="-"/>
            <w:b/>
            <w:i/>
            <w:color w:val="FF0000"/>
            <w:w w:val="95"/>
          </w:rPr>
          <w:t>ilektrofotismos</w:t>
        </w:r>
        <w:r w:rsidR="00B55945" w:rsidRPr="00B55945">
          <w:rPr>
            <w:rStyle w:val="-"/>
            <w:b/>
            <w:i/>
            <w:color w:val="FF0000"/>
            <w:w w:val="95"/>
            <w:lang w:val="el-GR"/>
          </w:rPr>
          <w:t>@165.</w:t>
        </w:r>
        <w:r w:rsidR="00B55945" w:rsidRPr="00B55945">
          <w:rPr>
            <w:rStyle w:val="-"/>
            <w:b/>
            <w:i/>
            <w:color w:val="FF0000"/>
            <w:w w:val="95"/>
          </w:rPr>
          <w:t>syzefxis</w:t>
        </w:r>
        <w:r w:rsidR="00B55945" w:rsidRPr="00B55945">
          <w:rPr>
            <w:rStyle w:val="-"/>
            <w:b/>
            <w:i/>
            <w:color w:val="FF0000"/>
            <w:w w:val="95"/>
            <w:lang w:val="el-GR"/>
          </w:rPr>
          <w:t>.</w:t>
        </w:r>
        <w:r w:rsidR="00B55945" w:rsidRPr="00B55945">
          <w:rPr>
            <w:rStyle w:val="-"/>
            <w:b/>
            <w:i/>
            <w:color w:val="FF0000"/>
            <w:w w:val="95"/>
          </w:rPr>
          <w:t>gov</w:t>
        </w:r>
        <w:r w:rsidR="00B55945" w:rsidRPr="00B55945">
          <w:rPr>
            <w:rStyle w:val="-"/>
            <w:b/>
            <w:i/>
            <w:color w:val="FF0000"/>
            <w:w w:val="95"/>
            <w:lang w:val="el-GR"/>
          </w:rPr>
          <w:t>.</w:t>
        </w:r>
        <w:r w:rsidR="00B55945" w:rsidRPr="00B55945">
          <w:rPr>
            <w:rStyle w:val="-"/>
            <w:b/>
            <w:i/>
            <w:color w:val="FF0000"/>
            <w:w w:val="95"/>
          </w:rPr>
          <w:t>gr</w:t>
        </w:r>
      </w:hyperlink>
      <w:r w:rsidR="00B55945" w:rsidRPr="00B55945">
        <w:rPr>
          <w:b/>
          <w:i/>
          <w:color w:val="FF0000"/>
          <w:w w:val="95"/>
          <w:lang w:val="el-GR"/>
        </w:rPr>
        <w:t xml:space="preserve"> </w:t>
      </w:r>
      <w:hyperlink r:id="rId9" w:history="1">
        <w:r w:rsidR="00B55945" w:rsidRPr="00B55945">
          <w:rPr>
            <w:rStyle w:val="-"/>
            <w:b/>
            <w:i/>
            <w:color w:val="FF0000"/>
            <w:w w:val="95"/>
          </w:rPr>
          <w:t>texniki</w:t>
        </w:r>
        <w:r w:rsidR="00B55945" w:rsidRPr="00B55945">
          <w:rPr>
            <w:rStyle w:val="-"/>
            <w:b/>
            <w:i/>
            <w:color w:val="FF0000"/>
            <w:w w:val="95"/>
            <w:lang w:val="el-GR"/>
          </w:rPr>
          <w:t>@0165.</w:t>
        </w:r>
        <w:r w:rsidR="00B55945" w:rsidRPr="00B55945">
          <w:rPr>
            <w:rStyle w:val="-"/>
            <w:b/>
            <w:i/>
            <w:color w:val="FF0000"/>
            <w:w w:val="95"/>
          </w:rPr>
          <w:t>syzefxis</w:t>
        </w:r>
        <w:r w:rsidR="00B55945" w:rsidRPr="00B55945">
          <w:rPr>
            <w:rStyle w:val="-"/>
            <w:b/>
            <w:i/>
            <w:color w:val="FF0000"/>
            <w:w w:val="95"/>
            <w:lang w:val="el-GR"/>
          </w:rPr>
          <w:t>.</w:t>
        </w:r>
        <w:r w:rsidR="00B55945" w:rsidRPr="00B55945">
          <w:rPr>
            <w:rStyle w:val="-"/>
            <w:b/>
            <w:i/>
            <w:color w:val="FF0000"/>
            <w:w w:val="95"/>
          </w:rPr>
          <w:t>gov</w:t>
        </w:r>
        <w:r w:rsidR="00B55945" w:rsidRPr="00B55945">
          <w:rPr>
            <w:rStyle w:val="-"/>
            <w:b/>
            <w:i/>
            <w:color w:val="FF0000"/>
            <w:w w:val="95"/>
            <w:lang w:val="el-GR"/>
          </w:rPr>
          <w:t>.</w:t>
        </w:r>
        <w:r w:rsidR="00B55945" w:rsidRPr="00B55945">
          <w:rPr>
            <w:rStyle w:val="-"/>
            <w:b/>
            <w:i/>
            <w:color w:val="FF0000"/>
            <w:w w:val="95"/>
          </w:rPr>
          <w:t>gr</w:t>
        </w:r>
      </w:hyperlink>
      <w:r w:rsidR="00B55945" w:rsidRPr="00B55945">
        <w:rPr>
          <w:b/>
          <w:i/>
          <w:color w:val="FF0000"/>
          <w:w w:val="95"/>
          <w:lang w:val="el-GR"/>
        </w:rPr>
        <w:t xml:space="preserve"> </w:t>
      </w:r>
      <w:r w:rsidRPr="00B55945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</w:t>
      </w:r>
      <w:r w:rsidR="00A142A8" w:rsidRPr="003E7308">
        <w:rPr>
          <w:b/>
          <w:i/>
          <w:color w:val="FF0000"/>
        </w:rPr>
        <w:t>www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salamina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gr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1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7E122D" w:rsidRDefault="008C20B7" w:rsidP="00E05DC0">
      <w:pPr>
        <w:tabs>
          <w:tab w:val="left" w:pos="443"/>
        </w:tabs>
        <w:spacing w:before="31" w:line="249" w:lineRule="auto"/>
        <w:ind w:right="279"/>
        <w:rPr>
          <w:spacing w:val="-5"/>
          <w:w w:val="95"/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</w:p>
    <w:p w:rsidR="006B476D" w:rsidRPr="003E7308" w:rsidRDefault="006B476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3E7308">
        <w:rPr>
          <w:b/>
          <w:i/>
          <w:color w:val="FF0000"/>
          <w:w w:val="95"/>
          <w:lang w:val="el-GR"/>
        </w:rPr>
        <w:t>[</w:t>
      </w:r>
      <w:r w:rsidR="00B55945">
        <w:rPr>
          <w:b/>
          <w:i/>
          <w:color w:val="FF0000"/>
          <w:w w:val="95"/>
          <w:lang w:val="el-GR"/>
        </w:rPr>
        <w:t>ΠΡΟΜΗΘΕΙΑ ΔΙΑΦΟΡΩΝ ΛΑΜΠΤΗΡΩΝ ΚΑΙ ΥΛΙΚΩΝ]</w:t>
      </w:r>
      <w:r w:rsidR="003033F6" w:rsidRPr="003E7308">
        <w:rPr>
          <w:b/>
          <w:i/>
          <w:color w:val="FF0000"/>
          <w:w w:val="95"/>
          <w:lang w:val="el-GR"/>
        </w:rPr>
        <w:t xml:space="preserve"> </w:t>
      </w:r>
    </w:p>
    <w:p w:rsidR="00563BC5" w:rsidRPr="003E7308" w:rsidRDefault="00FA565F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FA565F">
        <w:rPr>
          <w:b/>
          <w:i/>
          <w:color w:val="FF0000"/>
          <w:w w:val="95"/>
        </w:rPr>
        <w:t>[</w:t>
      </w:r>
      <w:r w:rsidR="00DA4C5D" w:rsidRPr="00FA565F">
        <w:rPr>
          <w:b/>
          <w:i/>
          <w:color w:val="FF0000"/>
          <w:w w:val="95"/>
        </w:rPr>
        <w:t>CPV</w:t>
      </w:r>
      <w:r w:rsidR="00DA4C5D" w:rsidRPr="00FA565F">
        <w:rPr>
          <w:rFonts w:ascii="Calibri" w:hAnsi="Calibri"/>
          <w:b/>
          <w:i/>
          <w:color w:val="FF0000"/>
          <w:w w:val="95"/>
          <w:lang w:val="el-GR"/>
        </w:rPr>
        <w:t>:</w:t>
      </w:r>
      <w:r w:rsidRPr="00FA565F">
        <w:rPr>
          <w:b/>
          <w:i/>
          <w:color w:val="FF0000"/>
          <w:w w:val="95"/>
          <w:lang w:val="el-GR"/>
        </w:rPr>
        <w:t xml:space="preserve"> </w:t>
      </w:r>
      <w:r w:rsidRPr="00FA565F">
        <w:rPr>
          <w:b/>
          <w:i/>
          <w:color w:val="FF0000"/>
          <w:w w:val="95"/>
        </w:rPr>
        <w:t>31531000-7 &amp; 34928500-3</w:t>
      </w:r>
      <w:r w:rsidR="008C20B7" w:rsidRPr="00FA565F">
        <w:rPr>
          <w:b/>
          <w:i/>
          <w:color w:val="FF0000"/>
          <w:w w:val="95"/>
          <w:lang w:val="el-GR"/>
        </w:rPr>
        <w:t>]</w:t>
      </w:r>
      <w:bookmarkStart w:id="0" w:name="_GoBack"/>
      <w:bookmarkEnd w:id="0"/>
    </w:p>
    <w:p w:rsidR="00563BC5" w:rsidRPr="00AE48E9" w:rsidRDefault="00563BC5">
      <w:pPr>
        <w:pStyle w:val="a3"/>
        <w:spacing w:before="4"/>
        <w:rPr>
          <w:sz w:val="12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color w:val="FF0000"/>
          <w:lang w:val="el-GR"/>
        </w:rPr>
      </w:pPr>
      <w:r w:rsidRPr="00437627">
        <w:rPr>
          <w:w w:val="95"/>
          <w:lang w:val="el-GR"/>
        </w:rPr>
        <w:t xml:space="preserve">Κωδικός στο </w:t>
      </w:r>
      <w:r w:rsidRPr="003E7308">
        <w:rPr>
          <w:b/>
          <w:color w:val="FF0000"/>
          <w:w w:val="95"/>
          <w:highlight w:val="yellow"/>
          <w:lang w:val="el-GR"/>
        </w:rPr>
        <w:t>ΚΗΜΔΗΣ</w:t>
      </w:r>
      <w:r w:rsidRPr="003E7308">
        <w:rPr>
          <w:b/>
          <w:i/>
          <w:color w:val="FF0000"/>
          <w:w w:val="95"/>
          <w:highlight w:val="yellow"/>
          <w:lang w:val="el-GR"/>
        </w:rPr>
        <w:t>:</w:t>
      </w:r>
      <w:r w:rsidRPr="003E7308">
        <w:rPr>
          <w:b/>
          <w:i/>
          <w:color w:val="FF0000"/>
          <w:spacing w:val="-21"/>
          <w:w w:val="95"/>
          <w:highlight w:val="yellow"/>
          <w:lang w:val="el-GR"/>
        </w:rPr>
        <w:t xml:space="preserve"> </w:t>
      </w:r>
      <w:r w:rsidR="00D60725" w:rsidRPr="003E7308">
        <w:rPr>
          <w:b/>
          <w:i/>
          <w:color w:val="FF0000"/>
          <w:w w:val="95"/>
          <w:highlight w:val="yellow"/>
          <w:lang w:val="el-GR"/>
        </w:rPr>
        <w:t>[</w:t>
      </w:r>
      <w:r w:rsidR="00B057D7" w:rsidRPr="003E7308">
        <w:rPr>
          <w:b/>
          <w:i/>
          <w:color w:val="FF0000"/>
          <w:w w:val="95"/>
          <w:highlight w:val="yellow"/>
          <w:lang w:val="el-GR"/>
        </w:rPr>
        <w:t>…………………………………….</w:t>
      </w:r>
      <w:r w:rsidRPr="003E7308">
        <w:rPr>
          <w:b/>
          <w:i/>
          <w:color w:val="FF0000"/>
          <w:w w:val="95"/>
          <w:highlight w:val="yellow"/>
          <w:lang w:val="el-GR"/>
        </w:rPr>
        <w:t>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</w:t>
      </w:r>
      <w:r w:rsidR="00E112F4">
        <w:rPr>
          <w:b/>
          <w:i/>
          <w:color w:val="FF0000"/>
          <w:lang w:val="el-GR"/>
        </w:rPr>
        <w:t>ΠΡΟΜΗΘΕΙΑ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3E7308">
        <w:rPr>
          <w:b/>
          <w:i/>
          <w:color w:val="FF0000"/>
          <w:w w:val="95"/>
          <w:lang w:val="el-GR"/>
        </w:rPr>
        <w:t xml:space="preserve">[ - 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3E7308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color w:val="FF0000"/>
          <w:lang w:val="el-GR"/>
        </w:rPr>
      </w:pPr>
      <w:r w:rsidRPr="000C5AE7">
        <w:rPr>
          <w:b/>
          <w:i/>
          <w:color w:val="FF0000"/>
          <w:highlight w:val="yellow"/>
          <w:lang w:val="el-GR"/>
        </w:rPr>
        <w:t xml:space="preserve">[Αρ. </w:t>
      </w:r>
      <w:r w:rsidR="00FA7291" w:rsidRPr="000C5AE7">
        <w:rPr>
          <w:b/>
          <w:i/>
          <w:color w:val="FF0000"/>
          <w:highlight w:val="yellow"/>
          <w:lang w:val="el-GR"/>
        </w:rPr>
        <w:t>Μελέτης</w:t>
      </w:r>
      <w:r w:rsidR="000C5AE7" w:rsidRPr="000C5AE7">
        <w:rPr>
          <w:b/>
          <w:i/>
          <w:color w:val="FF0000"/>
          <w:highlight w:val="yellow"/>
          <w:lang w:val="el-GR"/>
        </w:rPr>
        <w:t xml:space="preserve">  </w:t>
      </w:r>
      <w:r w:rsidR="000C5AE7" w:rsidRPr="00B55945">
        <w:rPr>
          <w:b/>
          <w:i/>
          <w:color w:val="FF0000"/>
          <w:highlight w:val="yellow"/>
          <w:lang w:val="el-GR"/>
        </w:rPr>
        <w:t xml:space="preserve">  </w:t>
      </w:r>
      <w:r w:rsidR="00B057D7" w:rsidRPr="000C5AE7">
        <w:rPr>
          <w:b/>
          <w:i/>
          <w:color w:val="FF0000"/>
          <w:highlight w:val="yellow"/>
          <w:lang w:val="el-GR"/>
        </w:rPr>
        <w:t>/2020</w:t>
      </w:r>
      <w:r w:rsidR="008C20B7" w:rsidRPr="000C5AE7">
        <w:rPr>
          <w:b/>
          <w:i/>
          <w:color w:val="FF0000"/>
          <w:highlight w:val="yellow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10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1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A565F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FA565F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FA565F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FA565F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FA565F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A565F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1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F27AC2">
      <w:pPr>
        <w:pStyle w:val="a3"/>
        <w:spacing w:before="10"/>
        <w:rPr>
          <w:rFonts w:ascii="DejaVu Sans"/>
          <w:b/>
          <w:sz w:val="17"/>
          <w:lang w:val="el-GR"/>
        </w:rPr>
      </w:pPr>
      <w:r w:rsidRPr="00F27AC2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A37819" w:rsidRPr="00AE48E9" w:rsidRDefault="00A37819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FA565F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11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F27AC2">
      <w:pPr>
        <w:pStyle w:val="a3"/>
        <w:spacing w:before="4"/>
        <w:rPr>
          <w:rFonts w:ascii="DejaVu Sans"/>
          <w:b/>
          <w:sz w:val="13"/>
          <w:lang w:val="el-GR"/>
        </w:rPr>
      </w:pPr>
      <w:r w:rsidRPr="00F27AC2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A565F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F27AC2">
      <w:pPr>
        <w:pStyle w:val="a3"/>
        <w:spacing w:before="11"/>
        <w:rPr>
          <w:rFonts w:ascii="DejaVu Sans"/>
          <w:b/>
          <w:sz w:val="6"/>
        </w:rPr>
      </w:pPr>
      <w:r w:rsidRPr="00F27AC2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A37819" w:rsidRPr="00AE48E9" w:rsidRDefault="00A37819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A3781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F27AC2">
      <w:pPr>
        <w:pStyle w:val="a3"/>
        <w:spacing w:before="6"/>
        <w:rPr>
          <w:sz w:val="14"/>
          <w:lang w:val="el-GR"/>
        </w:rPr>
      </w:pPr>
      <w:r w:rsidRPr="00F27AC2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A37819" w:rsidRDefault="00A37819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FA565F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FA565F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A565F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FA565F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FA565F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FA565F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1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FA565F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FA565F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FA565F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A565F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FA565F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1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FA565F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A565F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A565F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A565F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FA565F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A565F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FA565F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FA565F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FA565F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FA565F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1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1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F27AC2">
      <w:pPr>
        <w:pStyle w:val="a3"/>
        <w:spacing w:before="11"/>
        <w:rPr>
          <w:rFonts w:ascii="DejaVu Sans"/>
          <w:b/>
          <w:sz w:val="17"/>
          <w:lang w:val="el-GR"/>
        </w:rPr>
      </w:pPr>
      <w:r w:rsidRPr="00F27AC2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F27AC2">
      <w:pPr>
        <w:pStyle w:val="a3"/>
        <w:spacing w:before="11"/>
        <w:rPr>
          <w:rFonts w:ascii="DejaVu Sans"/>
          <w:b/>
          <w:sz w:val="17"/>
        </w:rPr>
      </w:pPr>
      <w:r w:rsidRPr="00F27AC2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FA565F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FA565F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FA565F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FA565F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F27AC2">
      <w:pPr>
        <w:pStyle w:val="a3"/>
        <w:spacing w:before="11"/>
        <w:rPr>
          <w:rFonts w:ascii="DejaVu Sans"/>
          <w:b/>
          <w:sz w:val="17"/>
          <w:lang w:val="el-GR"/>
        </w:rPr>
      </w:pPr>
      <w:r w:rsidRPr="00F27AC2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A565F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FA565F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FA565F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FA565F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FA565F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FA565F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A565F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A565F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FA565F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F27AC2" w:rsidP="00DF6156">
      <w:pPr>
        <w:spacing w:before="42"/>
        <w:jc w:val="center"/>
        <w:rPr>
          <w:rFonts w:ascii="DejaVu Sans" w:hAnsi="DejaVu Sans"/>
          <w:b/>
        </w:rPr>
      </w:pPr>
      <w:r w:rsidRPr="00F27AC2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A37819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A37819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37819" w:rsidRDefault="00A3781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F27AC2">
      <w:pPr>
        <w:pStyle w:val="a3"/>
        <w:spacing w:before="11"/>
        <w:rPr>
          <w:rFonts w:ascii="DejaVu Sans"/>
          <w:b/>
          <w:sz w:val="17"/>
        </w:rPr>
      </w:pPr>
      <w:r w:rsidRPr="00F27AC2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FA565F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2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FA565F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3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FA565F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FA565F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F27AC2">
      <w:pPr>
        <w:pStyle w:val="a3"/>
        <w:spacing w:before="11"/>
        <w:rPr>
          <w:rFonts w:ascii="DejaVu Sans"/>
          <w:b/>
          <w:sz w:val="17"/>
          <w:lang w:val="el-GR"/>
        </w:rPr>
      </w:pPr>
      <w:r w:rsidRPr="00F27AC2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FA565F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FA565F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F27AC2">
      <w:pPr>
        <w:pStyle w:val="a3"/>
        <w:spacing w:before="11"/>
        <w:rPr>
          <w:rFonts w:ascii="DejaVu Sans"/>
          <w:b/>
          <w:sz w:val="17"/>
          <w:lang w:val="el-GR"/>
        </w:rPr>
      </w:pPr>
      <w:r w:rsidRPr="00F27AC2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A37819" w:rsidRPr="00AE48E9" w:rsidRDefault="00A37819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A37819" w:rsidRPr="00AE48E9" w:rsidRDefault="00A37819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A565F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BC" w:rsidRDefault="00B948BC" w:rsidP="00563BC5">
      <w:r>
        <w:separator/>
      </w:r>
    </w:p>
  </w:endnote>
  <w:endnote w:type="continuationSeparator" w:id="0">
    <w:p w:rsidR="00B948BC" w:rsidRDefault="00B948BC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F27AC2">
    <w:pPr>
      <w:pStyle w:val="a3"/>
      <w:spacing w:line="14" w:lineRule="auto"/>
      <w:rPr>
        <w:sz w:val="15"/>
      </w:rPr>
    </w:pPr>
    <w:r w:rsidRPr="00F27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A37819" w:rsidRDefault="00F27AC2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A565F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F27AC2">
    <w:pPr>
      <w:pStyle w:val="a3"/>
      <w:spacing w:line="14" w:lineRule="auto"/>
      <w:rPr>
        <w:sz w:val="16"/>
      </w:rPr>
    </w:pPr>
    <w:r w:rsidRPr="00F27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A37819" w:rsidRDefault="00F27AC2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A565F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F27AC2">
    <w:pPr>
      <w:pStyle w:val="a3"/>
      <w:spacing w:line="14" w:lineRule="auto"/>
      <w:rPr>
        <w:sz w:val="20"/>
      </w:rPr>
    </w:pPr>
    <w:r w:rsidRPr="00F27AC2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F27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A37819" w:rsidRDefault="00A37819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F27AC2">
    <w:pPr>
      <w:pStyle w:val="a3"/>
      <w:spacing w:line="14" w:lineRule="auto"/>
      <w:rPr>
        <w:sz w:val="13"/>
      </w:rPr>
    </w:pPr>
    <w:r w:rsidRPr="00F27A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A37819" w:rsidRDefault="00F27AC2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A565F"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BC" w:rsidRDefault="00B948BC" w:rsidP="00563BC5">
      <w:r>
        <w:separator/>
      </w:r>
    </w:p>
  </w:footnote>
  <w:footnote w:type="continuationSeparator" w:id="0">
    <w:p w:rsidR="00B948BC" w:rsidRDefault="00B948BC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5AE7"/>
    <w:rsid w:val="000C7EE8"/>
    <w:rsid w:val="000D0C8E"/>
    <w:rsid w:val="00113A95"/>
    <w:rsid w:val="0013222B"/>
    <w:rsid w:val="00140CB1"/>
    <w:rsid w:val="001414D9"/>
    <w:rsid w:val="001C48B8"/>
    <w:rsid w:val="001C5BE5"/>
    <w:rsid w:val="001C789B"/>
    <w:rsid w:val="001D2972"/>
    <w:rsid w:val="001E13E0"/>
    <w:rsid w:val="00206457"/>
    <w:rsid w:val="002162ED"/>
    <w:rsid w:val="002329C0"/>
    <w:rsid w:val="00250C59"/>
    <w:rsid w:val="002A70E2"/>
    <w:rsid w:val="002D2373"/>
    <w:rsid w:val="002E66CA"/>
    <w:rsid w:val="003033F6"/>
    <w:rsid w:val="00376C57"/>
    <w:rsid w:val="00397147"/>
    <w:rsid w:val="003D44EE"/>
    <w:rsid w:val="003E168C"/>
    <w:rsid w:val="003E7308"/>
    <w:rsid w:val="0040092C"/>
    <w:rsid w:val="0040785B"/>
    <w:rsid w:val="00417DDB"/>
    <w:rsid w:val="004239E2"/>
    <w:rsid w:val="00437627"/>
    <w:rsid w:val="00441C65"/>
    <w:rsid w:val="004672BB"/>
    <w:rsid w:val="00491C1E"/>
    <w:rsid w:val="004F2FA6"/>
    <w:rsid w:val="00535DEC"/>
    <w:rsid w:val="0054760D"/>
    <w:rsid w:val="00554A6F"/>
    <w:rsid w:val="00563BC5"/>
    <w:rsid w:val="00566183"/>
    <w:rsid w:val="00574AFF"/>
    <w:rsid w:val="005B7B7C"/>
    <w:rsid w:val="005C7B5A"/>
    <w:rsid w:val="006076E7"/>
    <w:rsid w:val="00610758"/>
    <w:rsid w:val="00680B3B"/>
    <w:rsid w:val="006A0C9A"/>
    <w:rsid w:val="006B2E62"/>
    <w:rsid w:val="006B476D"/>
    <w:rsid w:val="006D1B45"/>
    <w:rsid w:val="006D54B5"/>
    <w:rsid w:val="0070597A"/>
    <w:rsid w:val="00786814"/>
    <w:rsid w:val="007E122D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17519"/>
    <w:rsid w:val="009305EF"/>
    <w:rsid w:val="00933AE6"/>
    <w:rsid w:val="009931A1"/>
    <w:rsid w:val="009F556B"/>
    <w:rsid w:val="00A142A8"/>
    <w:rsid w:val="00A14F50"/>
    <w:rsid w:val="00A14F69"/>
    <w:rsid w:val="00A37819"/>
    <w:rsid w:val="00A80EB3"/>
    <w:rsid w:val="00A949C2"/>
    <w:rsid w:val="00AA792C"/>
    <w:rsid w:val="00AB0D7E"/>
    <w:rsid w:val="00AD30DE"/>
    <w:rsid w:val="00AE038F"/>
    <w:rsid w:val="00AE48E9"/>
    <w:rsid w:val="00B057D7"/>
    <w:rsid w:val="00B14EB5"/>
    <w:rsid w:val="00B24883"/>
    <w:rsid w:val="00B24B46"/>
    <w:rsid w:val="00B3376F"/>
    <w:rsid w:val="00B55945"/>
    <w:rsid w:val="00B754AF"/>
    <w:rsid w:val="00B92515"/>
    <w:rsid w:val="00B948BC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2835"/>
    <w:rsid w:val="00D36C5A"/>
    <w:rsid w:val="00D5278A"/>
    <w:rsid w:val="00D60725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12F4"/>
    <w:rsid w:val="00E12FD3"/>
    <w:rsid w:val="00E30328"/>
    <w:rsid w:val="00E4393C"/>
    <w:rsid w:val="00E653CD"/>
    <w:rsid w:val="00EE4441"/>
    <w:rsid w:val="00EE7D57"/>
    <w:rsid w:val="00F10A80"/>
    <w:rsid w:val="00F150F3"/>
    <w:rsid w:val="00F229DF"/>
    <w:rsid w:val="00F27AC2"/>
    <w:rsid w:val="00F44925"/>
    <w:rsid w:val="00F61D97"/>
    <w:rsid w:val="00F83661"/>
    <w:rsid w:val="00FA0BFF"/>
    <w:rsid w:val="00FA565F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11">
    <w:name w:val="Επικεφαλίδα 1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  <w:style w:type="paragraph" w:styleId="a6">
    <w:name w:val="header"/>
    <w:basedOn w:val="a"/>
    <w:link w:val="Char0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949C2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949C2"/>
    <w:rPr>
      <w:rFonts w:ascii="Noto Sans" w:eastAsia="Noto Sans" w:hAnsi="Noto Sans" w:cs="Noto Sans"/>
      <w:lang w:bidi="en-US"/>
    </w:rPr>
  </w:style>
  <w:style w:type="character" w:styleId="-">
    <w:name w:val="Hyperlink"/>
    <w:basedOn w:val="a0"/>
    <w:uiPriority w:val="99"/>
    <w:unhideWhenUsed/>
    <w:rsid w:val="00B55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ktrofotismos@165.syzefxis.gov.gr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xniki@0165.syzefxi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C3E5D-A5C1-4476-BCF9-035E07A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4427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17</cp:revision>
  <cp:lastPrinted>2018-11-02T14:21:00Z</cp:lastPrinted>
  <dcterms:created xsi:type="dcterms:W3CDTF">2019-09-19T06:30:00Z</dcterms:created>
  <dcterms:modified xsi:type="dcterms:W3CDTF">2020-08-04T13:07:00Z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